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26079" w14:textId="77777777" w:rsidR="00C65243" w:rsidRPr="00F16552" w:rsidRDefault="00C65243" w:rsidP="00C6524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>Instrukcja</w:t>
      </w:r>
    </w:p>
    <w:p w14:paraId="25DBDCB2" w14:textId="77777777" w:rsidR="00C65243" w:rsidRPr="00AE3E09" w:rsidRDefault="00C65243" w:rsidP="00C65243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AE3E0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Dodatkowe atrakcje typu </w:t>
      </w:r>
      <w:r w:rsidRPr="00AE3E0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SPA &amp; </w:t>
      </w:r>
      <w:proofErr w:type="spellStart"/>
      <w:r w:rsidRPr="00AE3E0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Wellnes</w:t>
      </w:r>
      <w:proofErr w:type="spellEnd"/>
      <w:r w:rsidRPr="00AE3E0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w trakcie imprezy integracyjnej i eventu firmowego – co z prawem do odliczenia? </w:t>
      </w:r>
    </w:p>
    <w:p w14:paraId="7EAE713A" w14:textId="77777777" w:rsidR="00C65243" w:rsidRPr="00F16552" w:rsidRDefault="00C65243" w:rsidP="00C6524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sz w:val="20"/>
          <w:szCs w:val="20"/>
          <w:lang w:eastAsia="pl-PL"/>
        </w:rPr>
        <w:t>Luiza Pieprzyk</w:t>
      </w:r>
    </w:p>
    <w:p w14:paraId="053AB2BD" w14:textId="77777777" w:rsidR="00C65243" w:rsidRDefault="00C65243" w:rsidP="00C6524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7E7A918" w14:textId="77777777" w:rsidR="00C65243" w:rsidRPr="00F16552" w:rsidRDefault="00C65243" w:rsidP="00C6524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Dodatkowe atrakcje pomiędzy częścią oficjalną każdego eventu, konferencji są naturalną konsekwencją realizacji tych wydarzeń. Niestety, Dyrektor KIS w interpretacji z dnia 2 czerwca 2023 r. </w:t>
      </w:r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>zakwestionował również prawo do odliczenia VAT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z tytułu zakupu dodatkowych atrakcji w postaci możliwości korzystania ze strefy basenowej, SPA, siłowni (stanowiących w opinii podatnika element usługi kompleksowej). Jak czytamy w interpretacji: </w:t>
      </w:r>
      <w:r w:rsidRPr="00F16552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„(...) usługi dodatkowe, tj.: dodatkowe atrakcje, takie jak korzystanie ze strefy basenowej, SPA &amp; </w:t>
      </w:r>
      <w:proofErr w:type="spellStart"/>
      <w:r w:rsidRPr="00F16552">
        <w:rPr>
          <w:rFonts w:ascii="Arial" w:eastAsia="Times New Roman" w:hAnsi="Arial" w:cs="Arial"/>
          <w:iCs/>
          <w:sz w:val="20"/>
          <w:szCs w:val="20"/>
          <w:lang w:eastAsia="pl-PL"/>
        </w:rPr>
        <w:t>Wellnes</w:t>
      </w:r>
      <w:proofErr w:type="spellEnd"/>
      <w:r w:rsidRPr="00F16552">
        <w:rPr>
          <w:rFonts w:ascii="Arial" w:eastAsia="Times New Roman" w:hAnsi="Arial" w:cs="Arial"/>
          <w:iCs/>
          <w:sz w:val="20"/>
          <w:szCs w:val="20"/>
          <w:lang w:eastAsia="pl-PL"/>
        </w:rPr>
        <w:t>, siłowni, które nie są niezbędne do rzetelnego i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> </w:t>
      </w:r>
      <w:r w:rsidRPr="00F16552">
        <w:rPr>
          <w:rFonts w:ascii="Arial" w:eastAsia="Times New Roman" w:hAnsi="Arial" w:cs="Arial"/>
          <w:iCs/>
          <w:sz w:val="20"/>
          <w:szCs w:val="20"/>
          <w:lang w:eastAsia="pl-PL"/>
        </w:rPr>
        <w:t>właściwego świadczenia usług organizacji opisanych we wniosku wydarzeń, nie sposób uznać za konieczne do przygotowania tych wydarzeń w taki sposób, że w sensie gospodarczym będą tworzyły jedną całość i ich rozdzielenie miałoby charakter sztuczny. Nie można również uznać, że np. dodatkowe atrakcje będą zdeterminowane przez usługę główną (usługę przygotowania wydarzenia o charakterze szkoleniowym, integracyjnym) oraz że nie można wykonać lub wykorzystać usługi głównej bez tych dodatkowych usług. Powyższe okoliczności wskazują, że ww. świadczenia dodatkowe oferowane w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> </w:t>
      </w:r>
      <w:r w:rsidRPr="00F16552">
        <w:rPr>
          <w:rFonts w:ascii="Arial" w:eastAsia="Times New Roman" w:hAnsi="Arial" w:cs="Arial"/>
          <w:iCs/>
          <w:sz w:val="20"/>
          <w:szCs w:val="20"/>
          <w:lang w:eastAsia="pl-PL"/>
        </w:rPr>
        <w:t>związku z organizacją wydarzenia nie będą stanowiły środka do lepszego wykonania usług organizacji szkolenia, konferencji czy jubileuszu. Organizowanie dodatkowych atrakcji stanowić będzie usługi odrębne niebędące elementem składowym kompleksowej usługi organizacji wydarzeń (...)".</w:t>
      </w:r>
    </w:p>
    <w:p w14:paraId="4D4ECC8B" w14:textId="77777777" w:rsidR="00C65243" w:rsidRDefault="00C65243" w:rsidP="00C65243">
      <w:pPr>
        <w:spacing w:after="0" w:line="360" w:lineRule="auto"/>
        <w:jc w:val="both"/>
        <w:rPr>
          <w:rFonts w:ascii="Arial" w:eastAsia="Times New Roman" w:hAnsi="Arial" w:cs="Arial"/>
          <w:b/>
          <w:iCs/>
          <w:sz w:val="20"/>
          <w:szCs w:val="20"/>
          <w:lang w:eastAsia="pl-PL"/>
        </w:rPr>
      </w:pPr>
    </w:p>
    <w:p w14:paraId="6309CDA1" w14:textId="77777777" w:rsidR="00C65243" w:rsidRPr="00F16552" w:rsidRDefault="00C65243" w:rsidP="00C6524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iCs/>
          <w:sz w:val="20"/>
          <w:szCs w:val="20"/>
          <w:lang w:eastAsia="pl-PL"/>
        </w:rPr>
        <w:t xml:space="preserve">Absurdalne i nieżyciowe wnioski fiskusa </w:t>
      </w:r>
    </w:p>
    <w:p w14:paraId="0A22913A" w14:textId="77777777" w:rsidR="00C65243" w:rsidRDefault="00C65243" w:rsidP="00C6524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sz w:val="20"/>
          <w:szCs w:val="20"/>
          <w:lang w:eastAsia="pl-PL"/>
        </w:rPr>
        <w:t>Ostatecznie zatem organ podatkowy uznał, że skoro wydatki poniesione na nabycie świadczeń dodatkowych polegających na korzystaniu ze strefy basenowej, SPA oraz siłowni nie będą związane ze sprzedażą opodatkowaną podatkiem VAT w ramach prowadzonej przez podatnika działalności gospodarczej, to nie będzie mu przysługiwało prawo do odliczenia podatku naliczonego w zawiązku z</w:t>
      </w:r>
      <w:r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>ich nabyciem.</w:t>
      </w:r>
    </w:p>
    <w:p w14:paraId="6B2A1B96" w14:textId="77777777" w:rsidR="00C65243" w:rsidRPr="00F16552" w:rsidRDefault="00C65243" w:rsidP="00C6524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9712834" w14:textId="77777777" w:rsidR="00C65243" w:rsidRPr="00F16552" w:rsidRDefault="00C65243" w:rsidP="00C6524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Co na to sąd? </w:t>
      </w:r>
    </w:p>
    <w:p w14:paraId="15201D26" w14:textId="77777777" w:rsidR="00C65243" w:rsidRPr="004202B8" w:rsidRDefault="00C65243" w:rsidP="00C65243">
      <w:pPr>
        <w:spacing w:after="0" w:line="36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W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ocenie 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>Wojewódzki</w:t>
      </w:r>
      <w:r>
        <w:rPr>
          <w:rFonts w:ascii="Arial" w:eastAsia="Times New Roman" w:hAnsi="Arial" w:cs="Arial"/>
          <w:sz w:val="20"/>
          <w:szCs w:val="20"/>
          <w:lang w:eastAsia="pl-PL"/>
        </w:rPr>
        <w:t>ego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Sąd</w:t>
      </w:r>
      <w:r>
        <w:rPr>
          <w:rFonts w:ascii="Arial" w:eastAsia="Times New Roman" w:hAnsi="Arial" w:cs="Arial"/>
          <w:sz w:val="20"/>
          <w:szCs w:val="20"/>
          <w:lang w:eastAsia="pl-PL"/>
        </w:rPr>
        <w:t>u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Administracyjn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ego 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>w Poznaniu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wyrok z dnia 27 czerwca 2023 r., sygn. akt</w:t>
      </w:r>
      <w:r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I SA/Po 20/23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orzeczenie nieprawomocne, w którym jedną z poruszanych kwestii było prawo do odliczenia VAT z tytułu zakupu alkoholu na potrzeby organizacji wigilii firmowej</w:t>
      </w:r>
      <w:r>
        <w:rPr>
          <w:rFonts w:ascii="Arial" w:eastAsia="Times New Roman" w:hAnsi="Arial" w:cs="Arial"/>
          <w:sz w:val="20"/>
          <w:szCs w:val="20"/>
          <w:lang w:eastAsia="pl-PL"/>
        </w:rPr>
        <w:t>, sąd stwierdził: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„</w:t>
      </w:r>
      <w:r w:rsidRPr="00BB2175">
        <w:rPr>
          <w:rFonts w:ascii="Arial" w:eastAsia="Times New Roman" w:hAnsi="Arial" w:cs="Arial"/>
          <w:iCs/>
          <w:sz w:val="20"/>
          <w:szCs w:val="20"/>
          <w:lang w:eastAsia="pl-PL"/>
        </w:rPr>
        <w:t>(...)</w:t>
      </w:r>
      <w:r w:rsidRPr="004202B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Pr="00240B63">
        <w:rPr>
          <w:rFonts w:ascii="Arial" w:eastAsia="Times New Roman" w:hAnsi="Arial" w:cs="Arial"/>
          <w:iCs/>
          <w:sz w:val="20"/>
          <w:szCs w:val="20"/>
          <w:lang w:eastAsia="pl-PL"/>
        </w:rPr>
        <w:t>sporadyczne wydatki ponoszone na organizację dla pracowników zwyczajowo przyjętych świąt wykazują pośredni związek z czynnościami opodatkowanymi, sprzyjając integracji zespołu ludzi, w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> </w:t>
      </w:r>
      <w:r w:rsidRPr="00240B63">
        <w:rPr>
          <w:rFonts w:ascii="Arial" w:eastAsia="Times New Roman" w:hAnsi="Arial" w:cs="Arial"/>
          <w:iCs/>
          <w:sz w:val="20"/>
          <w:szCs w:val="20"/>
          <w:lang w:eastAsia="pl-PL"/>
        </w:rPr>
        <w:t>oparciu o który realizowane są następnie czynności podlegające opodatkowaniu. W konsekwencji możliwe jest wywiedzenie pośredniego związku pomiędzy zakwestionowanym wydatkiem a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> </w:t>
      </w:r>
      <w:r w:rsidRPr="00240B63">
        <w:rPr>
          <w:rFonts w:ascii="Arial" w:eastAsia="Times New Roman" w:hAnsi="Arial" w:cs="Arial"/>
          <w:iCs/>
          <w:sz w:val="20"/>
          <w:szCs w:val="20"/>
          <w:lang w:eastAsia="pl-PL"/>
        </w:rPr>
        <w:t>wykonywaniem czynności podlegających opodatkowaniu</w:t>
      </w:r>
      <w:r w:rsidRPr="00BB2175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(...)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”</w:t>
      </w:r>
      <w:r w:rsidRPr="00BB2175">
        <w:rPr>
          <w:rFonts w:ascii="Arial" w:eastAsia="Times New Roman" w:hAnsi="Arial" w:cs="Arial"/>
          <w:iCs/>
          <w:sz w:val="20"/>
          <w:szCs w:val="20"/>
          <w:lang w:eastAsia="pl-PL"/>
        </w:rPr>
        <w:t>.</w:t>
      </w:r>
      <w:r w:rsidRPr="004202B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</w:p>
    <w:p w14:paraId="0C0AEE82" w14:textId="77777777" w:rsidR="00C65243" w:rsidRDefault="00C65243" w:rsidP="00C65243">
      <w:pPr>
        <w:spacing w:after="0" w:line="360" w:lineRule="auto"/>
        <w:jc w:val="both"/>
        <w:rPr>
          <w:rFonts w:ascii="Arial" w:eastAsia="Times New Roman" w:hAnsi="Arial" w:cs="Arial"/>
          <w:b/>
          <w:iCs/>
          <w:sz w:val="20"/>
          <w:szCs w:val="20"/>
          <w:lang w:eastAsia="pl-PL"/>
        </w:rPr>
      </w:pPr>
    </w:p>
    <w:p w14:paraId="1A6CB171" w14:textId="77777777" w:rsidR="00C65243" w:rsidRPr="00F16552" w:rsidRDefault="00C65243" w:rsidP="00C65243">
      <w:pPr>
        <w:spacing w:after="0" w:line="360" w:lineRule="auto"/>
        <w:jc w:val="both"/>
        <w:rPr>
          <w:rFonts w:ascii="Arial" w:eastAsia="Times New Roman" w:hAnsi="Arial" w:cs="Arial"/>
          <w:b/>
          <w:iCs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iCs/>
          <w:sz w:val="20"/>
          <w:szCs w:val="20"/>
          <w:lang w:eastAsia="pl-PL"/>
        </w:rPr>
        <w:t>Podstawa prawna</w:t>
      </w:r>
    </w:p>
    <w:p w14:paraId="56E00913" w14:textId="77777777" w:rsidR="00C65243" w:rsidRPr="00985C30" w:rsidRDefault="00C65243" w:rsidP="00C65243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85C30">
        <w:rPr>
          <w:rFonts w:ascii="Arial" w:eastAsia="Times New Roman" w:hAnsi="Arial" w:cs="Arial"/>
          <w:sz w:val="20"/>
          <w:szCs w:val="20"/>
          <w:lang w:eastAsia="pl-PL"/>
        </w:rPr>
        <w:lastRenderedPageBreak/>
        <w:t>Interpretacja indywidualna Dyrektora K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rajowej </w:t>
      </w:r>
      <w:r w:rsidRPr="00985C30">
        <w:rPr>
          <w:rFonts w:ascii="Arial" w:eastAsia="Times New Roman" w:hAnsi="Arial" w:cs="Arial"/>
          <w:sz w:val="20"/>
          <w:szCs w:val="20"/>
          <w:lang w:eastAsia="pl-PL"/>
        </w:rPr>
        <w:t>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nformacji </w:t>
      </w:r>
      <w:r w:rsidRPr="00985C30">
        <w:rPr>
          <w:rFonts w:ascii="Arial" w:eastAsia="Times New Roman" w:hAnsi="Arial" w:cs="Arial"/>
          <w:sz w:val="20"/>
          <w:szCs w:val="20"/>
          <w:lang w:eastAsia="pl-PL"/>
        </w:rPr>
        <w:t>S</w:t>
      </w:r>
      <w:r>
        <w:rPr>
          <w:rFonts w:ascii="Arial" w:eastAsia="Times New Roman" w:hAnsi="Arial" w:cs="Arial"/>
          <w:sz w:val="20"/>
          <w:szCs w:val="20"/>
          <w:lang w:eastAsia="pl-PL"/>
        </w:rPr>
        <w:t>karbowej</w:t>
      </w:r>
      <w:r w:rsidRPr="00985C30">
        <w:rPr>
          <w:rFonts w:ascii="Arial" w:eastAsia="Times New Roman" w:hAnsi="Arial" w:cs="Arial"/>
          <w:sz w:val="20"/>
          <w:szCs w:val="20"/>
          <w:lang w:eastAsia="pl-PL"/>
        </w:rPr>
        <w:t xml:space="preserve"> z dnia 30 grudnia 2022 r., </w:t>
      </w:r>
      <w:r>
        <w:rPr>
          <w:rFonts w:ascii="Arial" w:hAnsi="Arial" w:cs="Arial"/>
          <w:sz w:val="20"/>
          <w:szCs w:val="20"/>
        </w:rPr>
        <w:t>znak:</w:t>
      </w:r>
      <w:r w:rsidRPr="00985C30">
        <w:rPr>
          <w:rFonts w:ascii="Arial" w:eastAsia="Times New Roman" w:hAnsi="Arial" w:cs="Arial"/>
          <w:sz w:val="20"/>
          <w:szCs w:val="20"/>
          <w:lang w:eastAsia="pl-PL"/>
        </w:rPr>
        <w:t xml:space="preserve"> 0111-KDIB3-1.4012.704.2022.4.ICZ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BC9139D" w14:textId="77777777" w:rsidR="00C65243" w:rsidRPr="00985C30" w:rsidRDefault="00C65243" w:rsidP="00C65243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85C30">
        <w:rPr>
          <w:rFonts w:ascii="Arial" w:eastAsia="Times New Roman" w:hAnsi="Arial" w:cs="Arial"/>
          <w:sz w:val="20"/>
          <w:szCs w:val="20"/>
          <w:lang w:eastAsia="pl-PL"/>
        </w:rPr>
        <w:t xml:space="preserve">Interpretacja indywidualna Szefa Krajowej Administracji Skarbowej z dnia 22 czerwca 2022 r., </w:t>
      </w:r>
      <w:r>
        <w:rPr>
          <w:rFonts w:ascii="Arial" w:hAnsi="Arial" w:cs="Arial"/>
          <w:sz w:val="20"/>
          <w:szCs w:val="20"/>
        </w:rPr>
        <w:t>znak:</w:t>
      </w:r>
      <w:r w:rsidRPr="00985C30">
        <w:rPr>
          <w:rFonts w:ascii="Arial" w:eastAsia="Times New Roman" w:hAnsi="Arial" w:cs="Arial"/>
          <w:sz w:val="20"/>
          <w:szCs w:val="20"/>
          <w:lang w:eastAsia="pl-PL"/>
        </w:rPr>
        <w:t xml:space="preserve"> DOP7.8101.62.2021.HEMD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985C30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</w:t>
      </w:r>
    </w:p>
    <w:p w14:paraId="1C025597" w14:textId="77777777" w:rsidR="00C65243" w:rsidRPr="00985C30" w:rsidRDefault="00C65243" w:rsidP="00C65243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Pr="00985C30">
        <w:rPr>
          <w:rFonts w:ascii="Arial" w:eastAsia="Times New Roman" w:hAnsi="Arial" w:cs="Arial"/>
          <w:sz w:val="20"/>
          <w:szCs w:val="20"/>
          <w:lang w:eastAsia="pl-PL"/>
        </w:rPr>
        <w:t>nterpretacja indywidualna Dyrektora K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rajowej </w:t>
      </w:r>
      <w:r w:rsidRPr="00985C30">
        <w:rPr>
          <w:rFonts w:ascii="Arial" w:eastAsia="Times New Roman" w:hAnsi="Arial" w:cs="Arial"/>
          <w:sz w:val="20"/>
          <w:szCs w:val="20"/>
          <w:lang w:eastAsia="pl-PL"/>
        </w:rPr>
        <w:t>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nformacji </w:t>
      </w:r>
      <w:r w:rsidRPr="00985C30">
        <w:rPr>
          <w:rFonts w:ascii="Arial" w:eastAsia="Times New Roman" w:hAnsi="Arial" w:cs="Arial"/>
          <w:sz w:val="20"/>
          <w:szCs w:val="20"/>
          <w:lang w:eastAsia="pl-PL"/>
        </w:rPr>
        <w:t>S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karbowej </w:t>
      </w:r>
      <w:r w:rsidRPr="00985C30">
        <w:rPr>
          <w:rFonts w:ascii="Arial" w:eastAsia="Times New Roman" w:hAnsi="Arial" w:cs="Arial"/>
          <w:sz w:val="20"/>
          <w:szCs w:val="20"/>
          <w:lang w:eastAsia="pl-PL"/>
        </w:rPr>
        <w:t xml:space="preserve"> z dnia 17 lipca 2023 r., </w:t>
      </w:r>
      <w:r>
        <w:rPr>
          <w:rFonts w:ascii="Arial" w:hAnsi="Arial" w:cs="Arial"/>
          <w:sz w:val="20"/>
          <w:szCs w:val="20"/>
        </w:rPr>
        <w:t>znak:</w:t>
      </w:r>
      <w:r w:rsidRPr="00985C30">
        <w:rPr>
          <w:rFonts w:ascii="Arial" w:eastAsia="Times New Roman" w:hAnsi="Arial" w:cs="Arial"/>
          <w:sz w:val="20"/>
          <w:szCs w:val="20"/>
          <w:lang w:eastAsia="pl-PL"/>
        </w:rPr>
        <w:t xml:space="preserve"> 0112-KDIL1-3.4012.225.2023.2.MR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09A3688" w14:textId="77777777" w:rsidR="00C65243" w:rsidRPr="00985C30" w:rsidRDefault="00C65243" w:rsidP="00C65243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985C30">
        <w:rPr>
          <w:rFonts w:ascii="Arial" w:eastAsia="Times New Roman" w:hAnsi="Arial" w:cs="Arial"/>
          <w:sz w:val="20"/>
          <w:szCs w:val="20"/>
          <w:lang w:eastAsia="pl-PL"/>
        </w:rPr>
        <w:t>yrok WSA w Poznaniu z dnia 27 czerwca 2023 r., sygn. akt</w:t>
      </w:r>
      <w:r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Pr="00985C30">
        <w:rPr>
          <w:rFonts w:ascii="Arial" w:eastAsia="Times New Roman" w:hAnsi="Arial" w:cs="Arial"/>
          <w:sz w:val="20"/>
          <w:szCs w:val="20"/>
          <w:lang w:eastAsia="pl-PL"/>
        </w:rPr>
        <w:t xml:space="preserve"> I SA/Po 20/23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72ACD7B" w14:textId="77777777" w:rsidR="00C65243" w:rsidRPr="00985C30" w:rsidRDefault="00C65243" w:rsidP="00C65243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0" w:name="298537"/>
      <w:bookmarkEnd w:id="0"/>
      <w:r>
        <w:rPr>
          <w:rFonts w:ascii="Arial" w:hAnsi="Arial" w:cs="Arial"/>
          <w:sz w:val="20"/>
          <w:szCs w:val="20"/>
        </w:rPr>
        <w:t>W</w:t>
      </w:r>
      <w:r w:rsidRPr="00985C30">
        <w:rPr>
          <w:rFonts w:ascii="Arial" w:hAnsi="Arial" w:cs="Arial"/>
          <w:sz w:val="20"/>
          <w:szCs w:val="20"/>
        </w:rPr>
        <w:t>yrok WSA w Łodzi z dnia 5 października 2023 r., sygn. akt</w:t>
      </w:r>
      <w:r>
        <w:rPr>
          <w:rFonts w:ascii="Arial" w:hAnsi="Arial" w:cs="Arial"/>
          <w:sz w:val="20"/>
          <w:szCs w:val="20"/>
        </w:rPr>
        <w:t>:</w:t>
      </w:r>
      <w:r w:rsidRPr="00985C30">
        <w:rPr>
          <w:rFonts w:ascii="Arial" w:hAnsi="Arial" w:cs="Arial"/>
          <w:sz w:val="20"/>
          <w:szCs w:val="20"/>
        </w:rPr>
        <w:t xml:space="preserve"> I SA/</w:t>
      </w:r>
      <w:proofErr w:type="spellStart"/>
      <w:r w:rsidRPr="00985C30">
        <w:rPr>
          <w:rFonts w:ascii="Arial" w:hAnsi="Arial" w:cs="Arial"/>
          <w:sz w:val="20"/>
          <w:szCs w:val="20"/>
        </w:rPr>
        <w:t>Łd</w:t>
      </w:r>
      <w:proofErr w:type="spellEnd"/>
      <w:r w:rsidRPr="00985C30">
        <w:rPr>
          <w:rFonts w:ascii="Arial" w:hAnsi="Arial" w:cs="Arial"/>
          <w:sz w:val="20"/>
          <w:szCs w:val="20"/>
        </w:rPr>
        <w:t xml:space="preserve"> 587/23.</w:t>
      </w:r>
    </w:p>
    <w:p w14:paraId="087E67E2" w14:textId="77777777" w:rsidR="0054151C" w:rsidRDefault="0054151C">
      <w:bookmarkStart w:id="1" w:name="_GoBack"/>
      <w:bookmarkEnd w:id="1"/>
    </w:p>
    <w:sectPr w:rsidR="00541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CB1EAD"/>
    <w:multiLevelType w:val="hybridMultilevel"/>
    <w:tmpl w:val="020AB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989"/>
    <w:rsid w:val="0054151C"/>
    <w:rsid w:val="00633989"/>
    <w:rsid w:val="00C65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815367-6ED0-4BAC-96BB-4AAF34950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52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C65243"/>
    <w:pPr>
      <w:ind w:left="720"/>
      <w:contextualSpacing/>
    </w:p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C65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2841</Characters>
  <Application>Microsoft Office Word</Application>
  <DocSecurity>0</DocSecurity>
  <Lines>23</Lines>
  <Paragraphs>6</Paragraphs>
  <ScaleCrop>false</ScaleCrop>
  <Company>Forum Media Polska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Sawicki Jakub</dc:creator>
  <cp:keywords/>
  <dc:description/>
  <cp:lastModifiedBy>Sawicki Jakub</cp:lastModifiedBy>
  <cp:revision>2</cp:revision>
  <dcterms:created xsi:type="dcterms:W3CDTF">2024-08-08T11:37:00Z</dcterms:created>
  <dcterms:modified xsi:type="dcterms:W3CDTF">2024-08-08T11:38:00Z</dcterms:modified>
</cp:coreProperties>
</file>